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73" w:rsidRPr="0015769B" w:rsidRDefault="00771B73" w:rsidP="005E1258">
      <w:pPr>
        <w:pStyle w:val="Default"/>
        <w:jc w:val="right"/>
        <w:rPr>
          <w:rFonts w:ascii="Times New Roman" w:hAnsi="Times New Roman"/>
        </w:rPr>
      </w:pPr>
    </w:p>
    <w:p w:rsidR="00CA0343" w:rsidRPr="0015769B" w:rsidRDefault="00CA0343" w:rsidP="00CA034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769B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CA0343" w:rsidRPr="0015769B" w:rsidRDefault="00CA0343" w:rsidP="00CA034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769B">
        <w:rPr>
          <w:rFonts w:ascii="Times New Roman" w:hAnsi="Times New Roman" w:cs="Times New Roman"/>
          <w:b/>
          <w:bCs/>
          <w:sz w:val="28"/>
          <w:szCs w:val="28"/>
        </w:rPr>
        <w:t xml:space="preserve">    Единственным участником</w:t>
      </w:r>
    </w:p>
    <w:p w:rsidR="00CA0343" w:rsidRPr="0015769B" w:rsidRDefault="00CA0343" w:rsidP="00CA034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769B">
        <w:rPr>
          <w:rFonts w:ascii="Times New Roman" w:hAnsi="Times New Roman" w:cs="Times New Roman"/>
          <w:b/>
          <w:bCs/>
          <w:sz w:val="28"/>
          <w:szCs w:val="28"/>
        </w:rPr>
        <w:t>ООО УК «НРК-Капитал»</w:t>
      </w:r>
    </w:p>
    <w:p w:rsidR="00CA0343" w:rsidRPr="0015769B" w:rsidRDefault="00CA0343" w:rsidP="00CA034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769B">
        <w:rPr>
          <w:rFonts w:ascii="Times New Roman" w:hAnsi="Times New Roman" w:cs="Times New Roman"/>
          <w:b/>
          <w:bCs/>
          <w:sz w:val="28"/>
          <w:szCs w:val="28"/>
        </w:rPr>
        <w:t>Решение   от   08 .02.2018</w:t>
      </w:r>
    </w:p>
    <w:p w:rsidR="00771B73" w:rsidRPr="0015769B" w:rsidRDefault="00771B73" w:rsidP="0015769B">
      <w:pPr>
        <w:pStyle w:val="Default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  <w:bookmarkStart w:id="0" w:name="_GoBack"/>
      <w:bookmarkEnd w:id="0"/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69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69B">
        <w:rPr>
          <w:rFonts w:ascii="Times New Roman" w:hAnsi="Times New Roman"/>
          <w:b/>
          <w:bCs/>
          <w:sz w:val="28"/>
          <w:szCs w:val="28"/>
        </w:rPr>
        <w:t>мер по недопущению установления приоритета интересов одного или нескольких клиентов над интересами других клиентов</w:t>
      </w:r>
    </w:p>
    <w:p w:rsidR="0094717F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69B">
        <w:rPr>
          <w:rFonts w:ascii="Times New Roman" w:hAnsi="Times New Roman"/>
          <w:b/>
          <w:bCs/>
          <w:sz w:val="28"/>
          <w:szCs w:val="28"/>
        </w:rPr>
        <w:t xml:space="preserve"> ООО УК «НРК-Капитал»</w:t>
      </w:r>
    </w:p>
    <w:p w:rsidR="00771B73" w:rsidRPr="0015769B" w:rsidRDefault="0094717F" w:rsidP="005E125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69B">
        <w:rPr>
          <w:rFonts w:ascii="Times New Roman" w:hAnsi="Times New Roman"/>
          <w:b/>
          <w:bCs/>
          <w:sz w:val="28"/>
          <w:szCs w:val="28"/>
        </w:rPr>
        <w:t xml:space="preserve"> (редакция №2)</w:t>
      </w:r>
      <w:r w:rsidRPr="0015769B">
        <w:rPr>
          <w:rFonts w:ascii="Times New Roman" w:eastAsia="Batang" w:hAnsi="Times New Roman"/>
          <w:sz w:val="28"/>
          <w:szCs w:val="28"/>
        </w:rPr>
        <w:br/>
      </w:r>
    </w:p>
    <w:p w:rsidR="00771B73" w:rsidRPr="0015769B" w:rsidRDefault="00771B73" w:rsidP="0098570D">
      <w:pPr>
        <w:pStyle w:val="Default"/>
        <w:rPr>
          <w:rFonts w:ascii="Times New Roman" w:hAnsi="Times New Roman"/>
          <w:b/>
          <w:bCs/>
        </w:rPr>
      </w:pPr>
    </w:p>
    <w:p w:rsidR="00771B73" w:rsidRPr="0015769B" w:rsidRDefault="005D52C9" w:rsidP="0015769B">
      <w:pPr>
        <w:pStyle w:val="Default"/>
        <w:tabs>
          <w:tab w:val="left" w:pos="34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b/>
          <w:bCs/>
        </w:rPr>
      </w:pPr>
    </w:p>
    <w:p w:rsidR="00771B73" w:rsidRPr="0015769B" w:rsidRDefault="00771B73" w:rsidP="005E1258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15769B">
        <w:rPr>
          <w:rFonts w:ascii="Times New Roman" w:hAnsi="Times New Roman"/>
          <w:b/>
          <w:bCs/>
          <w:sz w:val="28"/>
          <w:szCs w:val="28"/>
        </w:rPr>
        <w:t>Москва, 201</w:t>
      </w:r>
      <w:r w:rsidR="0026162D" w:rsidRPr="0015769B">
        <w:rPr>
          <w:rFonts w:ascii="Times New Roman" w:hAnsi="Times New Roman"/>
          <w:b/>
          <w:bCs/>
          <w:sz w:val="28"/>
          <w:szCs w:val="28"/>
        </w:rPr>
        <w:t>8</w:t>
      </w:r>
      <w:r w:rsidRPr="0015769B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771B73" w:rsidRPr="0015769B" w:rsidRDefault="00771B73">
      <w:pPr>
        <w:rPr>
          <w:rFonts w:ascii="Times New Roman" w:hAnsi="Times New Roman" w:cs="Times New Roman"/>
          <w:sz w:val="24"/>
          <w:szCs w:val="24"/>
        </w:rPr>
      </w:pPr>
      <w:r w:rsidRPr="0015769B">
        <w:rPr>
          <w:rFonts w:ascii="Times New Roman" w:hAnsi="Times New Roman" w:cs="Times New Roman"/>
          <w:sz w:val="24"/>
          <w:szCs w:val="24"/>
        </w:rPr>
        <w:br w:type="page"/>
      </w:r>
    </w:p>
    <w:p w:rsidR="00771B73" w:rsidRPr="0026162D" w:rsidRDefault="00771B73" w:rsidP="00C92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6162D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:rsidR="00771B73" w:rsidRPr="0026162D" w:rsidRDefault="00771B73" w:rsidP="0079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1.1.</w:t>
      </w:r>
      <w:r w:rsidRPr="0026162D">
        <w:rPr>
          <w:rFonts w:ascii="Times New Roman" w:hAnsi="Times New Roman" w:cs="Times New Roman"/>
          <w:sz w:val="24"/>
          <w:szCs w:val="24"/>
        </w:rPr>
        <w:tab/>
        <w:t>Настоящий Перечень мер по недопущению установления приоритета интересов одного или нескольких клиентов над интересами других клиентов (далее по тексту – Перечень мер) в ООО УК «НРК-Капитал» (далее по тексту – Компания) разработан в соответствии с 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1.2.</w:t>
      </w:r>
      <w:r w:rsidRPr="0026162D">
        <w:rPr>
          <w:rFonts w:ascii="Times New Roman" w:hAnsi="Times New Roman" w:cs="Times New Roman"/>
          <w:sz w:val="24"/>
          <w:szCs w:val="24"/>
        </w:rPr>
        <w:tab/>
        <w:t>В настоящем Перечне мер используются следующие термины и определения: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сотрудники</w:t>
      </w:r>
      <w:r w:rsidRPr="0026162D">
        <w:rPr>
          <w:rFonts w:ascii="Times New Roman" w:hAnsi="Times New Roman" w:cs="Times New Roman"/>
          <w:sz w:val="24"/>
          <w:szCs w:val="24"/>
        </w:rPr>
        <w:t xml:space="preserve"> – лица, выполняющие определенные функции на основании трудового или гражданско-правового договора с Компанией в рамках осуществляемой ей профессиональной деятельности;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контролер</w:t>
      </w:r>
      <w:r w:rsidRPr="0026162D">
        <w:rPr>
          <w:rFonts w:ascii="Times New Roman" w:hAnsi="Times New Roman" w:cs="Times New Roman"/>
          <w:sz w:val="24"/>
          <w:szCs w:val="24"/>
        </w:rPr>
        <w:t xml:space="preserve"> – должностное лицо Компании, отвечающее за осуществление внутреннего контроля;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26162D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которому Компания оказывает услуги, связанные с ее профессиональной деятельностью на рынке ценных бумаг; 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конфиденциальная информация</w:t>
      </w:r>
      <w:r w:rsidRPr="0026162D">
        <w:rPr>
          <w:rFonts w:ascii="Times New Roman" w:hAnsi="Times New Roman" w:cs="Times New Roman"/>
          <w:sz w:val="24"/>
          <w:szCs w:val="24"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Компании и/или договорами между Компанией и клиентами;</w:t>
      </w:r>
    </w:p>
    <w:p w:rsidR="00771B73" w:rsidRPr="0026162D" w:rsidRDefault="00771B73" w:rsidP="0079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73" w:rsidRPr="0026162D" w:rsidRDefault="00771B73" w:rsidP="00C92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6162D">
        <w:rPr>
          <w:rFonts w:ascii="Times New Roman" w:hAnsi="Times New Roman" w:cs="Times New Roman"/>
          <w:b/>
          <w:bCs/>
          <w:sz w:val="24"/>
          <w:szCs w:val="24"/>
        </w:rPr>
        <w:tab/>
        <w:t>ПРИНЦИПЫ ПРОФЕССИОНАЛЬНОЙ ДЕЯТЕЛЬНОСТИ КОМПАНИИ</w:t>
      </w:r>
    </w:p>
    <w:p w:rsidR="00771B73" w:rsidRPr="0026162D" w:rsidRDefault="00771B73" w:rsidP="0079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руководствуется в своей профессиональной деятельности на рынке ценных бумаг требованиями федеральных законов, нормативных актов Банка России, иных нормативных правовых актов, внутренних документов Компании и условиями договоров доверительного управления, заключенных с клиентами.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2.2.</w:t>
      </w:r>
      <w:r w:rsidRPr="0026162D">
        <w:rPr>
          <w:rFonts w:ascii="Times New Roman" w:hAnsi="Times New Roman" w:cs="Times New Roman"/>
          <w:sz w:val="24"/>
          <w:szCs w:val="24"/>
        </w:rPr>
        <w:tab/>
        <w:t>При управлении ценными бумагами и денежными средствами нескольких клиентов Компания предпринимает меры по недопущению установления приоритета интересов одного или нескольких клиентов над интересами других клиентов.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2.3.</w:t>
      </w:r>
      <w:r w:rsidRPr="0026162D">
        <w:rPr>
          <w:rFonts w:ascii="Times New Roman" w:hAnsi="Times New Roman" w:cs="Times New Roman"/>
          <w:sz w:val="24"/>
          <w:szCs w:val="24"/>
        </w:rPr>
        <w:tab/>
        <w:t>В целях недопущения приоритета интересов одного или нескольких клиентов над интересами других клиентов Компания в полной мере руководствуется требованиями внутренних документов Компании, устанавливающих перечень мер по выявлению и контролю конфликта интересов, а также предотвращению его последствий при осуществлении профессиональной деятельности на рынке ценных бумаг.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2.4.</w:t>
      </w:r>
      <w:r w:rsidRPr="0026162D">
        <w:rPr>
          <w:rFonts w:ascii="Times New Roman" w:hAnsi="Times New Roman" w:cs="Times New Roman"/>
          <w:sz w:val="24"/>
          <w:szCs w:val="24"/>
        </w:rPr>
        <w:tab/>
        <w:t>Основными принципами деятельности Компании в целях недопущения приоритета интересов одного или нескольких клиентов над интересами других клиентов при осуществлении профессиональной деятельности на рынке ценных бумаг являются: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добросовестность;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законность;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приоритет интересов клиентов;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профессионализм;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независимость;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информационная открытость.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2.5.</w:t>
      </w:r>
      <w:r w:rsidRPr="0026162D">
        <w:rPr>
          <w:rFonts w:ascii="Times New Roman" w:hAnsi="Times New Roman" w:cs="Times New Roman"/>
          <w:sz w:val="24"/>
          <w:szCs w:val="24"/>
        </w:rPr>
        <w:tab/>
        <w:t xml:space="preserve">При осуществлении профессиональной деятельности Компания руководствуется исключительно интересами клиента, если таковые не противоречат </w:t>
      </w:r>
      <w:r w:rsidRPr="0026162D">
        <w:rPr>
          <w:rFonts w:ascii="Times New Roman" w:hAnsi="Times New Roman" w:cs="Times New Roman"/>
          <w:sz w:val="24"/>
          <w:szCs w:val="24"/>
        </w:rPr>
        <w:lastRenderedPageBreak/>
        <w:t>действующему законодательству Российской Федерации, требованиям внутренних документов Компании или условиям договоров доверительного управления, заключенных с клиентом.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2.6.</w:t>
      </w:r>
      <w:r w:rsidRPr="0026162D">
        <w:rPr>
          <w:rFonts w:ascii="Times New Roman" w:hAnsi="Times New Roman" w:cs="Times New Roman"/>
          <w:sz w:val="24"/>
          <w:szCs w:val="24"/>
        </w:rPr>
        <w:tab/>
        <w:t>При осуществлении профессиональной деятельности Компания не вправе злоупотреблять предоставленными ей правами с целью извлечения собственной выгоды либо выгоды одних клиентов за счет умаления интересов других клиентов.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2.7.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действует с позиции добросовестного отношения ко всем клиентам. Компания не использует некомпетентность клиента в своих интересах, а также не оказывает одним клиентам предпочтение перед другими в оказании профессиональных услуг по признакам их национальности, пола, политических или религиозных убеждений, финансового состояния, деловой репутации и других обстоятельств.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2.8.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обеспечивает внутренний контроль за деятельностью подразделений и отдельных сотрудников, задействованных в выполнении, оформлении и учете сделок и операций Компании и клиентов, а также имеющих доступ к конфиденциальной информации, в целях защиты прав и интересов как клиентов, так и Компании от ошибочных или недобросовестных действий сотрудников Компании, которые могут принести убытки Компании, нанести вред ее репутации, привести к ущемлению прав и интересов клиентов, либо иметь иные негативные последствия.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2.9.</w:t>
      </w:r>
      <w:r w:rsidRPr="0026162D">
        <w:rPr>
          <w:rFonts w:ascii="Times New Roman" w:hAnsi="Times New Roman" w:cs="Times New Roman"/>
          <w:sz w:val="24"/>
          <w:szCs w:val="24"/>
        </w:rPr>
        <w:tab/>
        <w:t>При осуществлении управления ценными бумагами Компания обязана проявлять должную заботливость об интересах каждого клиента и осмотрительность, которые от нее требуются по существу отношений и условий гражданского оборота, а также исходя из рыночной ситуации.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2.10.</w:t>
      </w:r>
      <w:r w:rsidRPr="0026162D">
        <w:rPr>
          <w:rFonts w:ascii="Times New Roman" w:hAnsi="Times New Roman" w:cs="Times New Roman"/>
          <w:sz w:val="24"/>
          <w:szCs w:val="24"/>
        </w:rPr>
        <w:tab/>
        <w:t>Решения Компании в отношении заключения / отказа от заключения сделки, ее конкретных условий, объемов инвестирования, условий обеспечения и иных аспектов не могут приниматься, исходя из предпочтений Компании в отношении одного или нескольких клиентов перед другими клиентами, основанных на разнице: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объемов средств, переданных клиентами в доверительное управление;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длительности договорных взаимоотношений между клиентами и Компанией;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финансового состояния клиентов;</w:t>
      </w:r>
    </w:p>
    <w:p w:rsidR="00771B73" w:rsidRPr="0026162D" w:rsidRDefault="00771B73" w:rsidP="006D286D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условий выплаты вознаграждения Компании, предусмотренных договором доверительного управления;</w:t>
      </w:r>
    </w:p>
    <w:p w:rsidR="00771B73" w:rsidRPr="0026162D" w:rsidRDefault="00771B73" w:rsidP="006D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иных дискриминационных факторов, ставящих клиентов в неравные положения.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2.11.</w:t>
      </w:r>
      <w:r w:rsidRPr="0026162D">
        <w:rPr>
          <w:rFonts w:ascii="Times New Roman" w:hAnsi="Times New Roman" w:cs="Times New Roman"/>
          <w:sz w:val="24"/>
          <w:szCs w:val="24"/>
        </w:rPr>
        <w:tab/>
        <w:t xml:space="preserve">При осуществлении управления ценными бумагами Компания руководствуется исключительно интересами каждого клиента, стремится заключить сделку на наиболее выгодных для клиента условиях, учитывая его инвестиционный профиль, инвестиционную стратегию и конкретные условия рынка. 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2.12.</w:t>
      </w:r>
      <w:r w:rsidRPr="0026162D">
        <w:rPr>
          <w:rFonts w:ascii="Times New Roman" w:hAnsi="Times New Roman" w:cs="Times New Roman"/>
          <w:sz w:val="24"/>
          <w:szCs w:val="24"/>
        </w:rPr>
        <w:tab/>
        <w:t xml:space="preserve">Компания принимает все зависящие от нее разумные меры для достижения инвестиционных целей клиента при соответствии уровню риска возможных убытков, который способен нести клиент.  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2.13.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не допускает при принятии конкретного инвестиционного решения конкуренции инвестиционных портфелей клиентов.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2.14.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обеспечивает раздельный учет сделок клиентов, раздельный учет денежных средств и ценных бумаг, принадлежащих клиентам.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2.15.</w:t>
      </w:r>
      <w:r w:rsidRPr="0026162D">
        <w:rPr>
          <w:rFonts w:ascii="Times New Roman" w:hAnsi="Times New Roman" w:cs="Times New Roman"/>
          <w:sz w:val="24"/>
          <w:szCs w:val="24"/>
        </w:rPr>
        <w:tab/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 заявки.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2.16.</w:t>
      </w:r>
      <w:r w:rsidRPr="0026162D">
        <w:rPr>
          <w:rFonts w:ascii="Times New Roman" w:hAnsi="Times New Roman" w:cs="Times New Roman"/>
          <w:sz w:val="24"/>
          <w:szCs w:val="24"/>
        </w:rPr>
        <w:tab/>
        <w:t xml:space="preserve"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</w:t>
      </w:r>
      <w:r w:rsidRPr="0026162D">
        <w:rPr>
          <w:rFonts w:ascii="Times New Roman" w:hAnsi="Times New Roman" w:cs="Times New Roman"/>
          <w:sz w:val="24"/>
          <w:szCs w:val="24"/>
        </w:rPr>
        <w:lastRenderedPageBreak/>
        <w:t>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2.17.</w:t>
      </w:r>
      <w:r w:rsidRPr="0026162D">
        <w:rPr>
          <w:rFonts w:ascii="Times New Roman" w:hAnsi="Times New Roman" w:cs="Times New Roman"/>
          <w:sz w:val="24"/>
          <w:szCs w:val="24"/>
        </w:rPr>
        <w:tab/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2.18.</w:t>
      </w:r>
      <w:r w:rsidRPr="0026162D">
        <w:rPr>
          <w:rFonts w:ascii="Times New Roman" w:hAnsi="Times New Roman" w:cs="Times New Roman"/>
          <w:sz w:val="24"/>
          <w:szCs w:val="24"/>
        </w:rPr>
        <w:tab/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2.19.</w:t>
      </w:r>
      <w:r w:rsidRPr="0026162D">
        <w:rPr>
          <w:rFonts w:ascii="Times New Roman" w:hAnsi="Times New Roman" w:cs="Times New Roman"/>
          <w:sz w:val="24"/>
          <w:szCs w:val="24"/>
        </w:rPr>
        <w:tab/>
        <w:t xml:space="preserve">При управлении ценными бумагами и денежными средствами нескольких клиентов Компания вправе устанавливать единые правила и принципы формирования состава и структуры активов, находящихся в доверительном управлении (далее – стандартные стратегии управления). При этом управление ценными бумагами и денежными средствами по стандартным стратегиям управления может осуществляться только при условии, что для указанных клиентов определен единый инвестиционный профиль (стандартный инвестиционный профиль). </w:t>
      </w:r>
    </w:p>
    <w:p w:rsidR="00771B73" w:rsidRPr="0026162D" w:rsidRDefault="00771B73" w:rsidP="002A1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2.10. Поручения клиентов на вывод денежных средств или ценных бумаг в рамках договора доверительного управления принимаются к исполнению в порядке их поступления.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2.20.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также не допускает приоритета интересов одного или нескольких клиентов над интересами других клиентов при осуществлении мер по минимизации (устранению) неблагоприятных последствий конфликта интересов, возникшего между Компанией и клиентом.</w:t>
      </w:r>
    </w:p>
    <w:p w:rsidR="00771B73" w:rsidRPr="0026162D" w:rsidRDefault="00771B73" w:rsidP="00C92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6162D">
        <w:rPr>
          <w:rFonts w:ascii="Times New Roman" w:hAnsi="Times New Roman" w:cs="Times New Roman"/>
          <w:b/>
          <w:bCs/>
          <w:sz w:val="24"/>
          <w:szCs w:val="24"/>
        </w:rPr>
        <w:tab/>
        <w:t>ПРОФЕССИОНАЛЬНАЯ И СЛУЖЕБНАЯ ЭТИКА</w:t>
      </w:r>
    </w:p>
    <w:p w:rsidR="00771B73" w:rsidRPr="0026162D" w:rsidRDefault="00771B73" w:rsidP="00791A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3.1.</w:t>
      </w:r>
      <w:r w:rsidRPr="0026162D">
        <w:rPr>
          <w:rFonts w:ascii="Times New Roman" w:hAnsi="Times New Roman" w:cs="Times New Roman"/>
          <w:sz w:val="24"/>
          <w:szCs w:val="24"/>
        </w:rPr>
        <w:tab/>
        <w:t>При осуществлении профессиональной деятельности Компания создает такие условия работы, которые исключают возможность передачи служебной информации ее сотрудниками третьим лицам, а также использования служебной информации для заключения сделок без участия Компании.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3.2.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вправе давать клиентам рекомендации, касающиеся управления ценными бумагами, только на основании профессионального и объективного анализа ситуации, сложившейся на рынке, с учетом инвестиционных целей каждого клиента, допустимого риска, особенностей инвестиционной стратегии и иных факторов. При этом информация, предоставляемая Компанией клиентам, должна быть достоверной, ясно изложенной и своевременной.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3.3.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не рекомендует клиентам инвестировать активы в определенные ценные бумаги, если нет оснований полагать, что именно такие инвестиции приемлемы для клиентов с учетом их инвестиционного профиля.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3.4.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и ее сотрудники не имеют права осуществлять давление на клиента, в том числе в виде рекомендаций, которые могут способствовать созданию неправильного или вводящего в заблуждение представления о рыночной ситуации, ценных бумагах, эмитентах ценных бумаг, ценах и условиях сделок, и имеют целью склонить клиента к принятию конкретного инвестиционного решения или воздержанию от определенного действия, в том числе в интересах других клиентов или самой Компании.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3.5.</w:t>
      </w:r>
      <w:r w:rsidRPr="0026162D">
        <w:rPr>
          <w:rFonts w:ascii="Times New Roman" w:hAnsi="Times New Roman" w:cs="Times New Roman"/>
          <w:sz w:val="24"/>
          <w:szCs w:val="24"/>
        </w:rPr>
        <w:tab/>
        <w:t>Сотрудникам Компании запрещается давать клиентам рекомендации по сделкам и операциям на рынке ценных бумаг с целью создания благоприятных условий для осуществления сделок и операций в интересах определенных клиентов, самой Компании либо собственных интересах сотрудника.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3.6.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в ходе осуществления профессиональной деятельности на рынке ценных бумаг не допускает предвзятости, давления со стороны, зависимости от третьих лиц, наносящей ущерб клиентам.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Pr="0026162D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договорам доверительного управления Компания и ее сотрудники не выплачивают, не предлагают выплатить и не разрешают выплату каких-либо денежных средств или ценностей, прямо или косвенно, клиентам или иным лицам, для оказания влияния на действия или решения этих лиц либо Компании с целью получить какие-либо неправомерные преимущества или иные неправомерные цели.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3.10.</w:t>
      </w:r>
      <w:r w:rsidRPr="0026162D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договорам доверительного управления Компания и ее сотрудники не имеют права осуществлять действия, квалифицируемые законодательством, как дача либо получение взятки, 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3.11.</w:t>
      </w:r>
      <w:r w:rsidRPr="0026162D">
        <w:rPr>
          <w:rFonts w:ascii="Times New Roman" w:hAnsi="Times New Roman" w:cs="Times New Roman"/>
          <w:sz w:val="24"/>
          <w:szCs w:val="24"/>
        </w:rPr>
        <w:tab/>
        <w:t>Компания и ее сотрудники должны отказываться принимать денежные суммы, подарки, безвозмездное выполнение в их адрес работ (услуг) либо принимать иные материальные или нематериальные блага от своих клиентов, которые передаются в качестве стимулирования Компании либо ее сотрудников, ставят их в определенную зависимость от клиента и направлены на обеспечение выполнения сотрудником или Компанией каких-либо действий в пользу стимулирующего клиента, не обусловленных требованиями законодательства или обязательствами по договору доверительного управления.</w:t>
      </w:r>
    </w:p>
    <w:p w:rsidR="00771B73" w:rsidRPr="0026162D" w:rsidRDefault="00771B73" w:rsidP="00C9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3.12.</w:t>
      </w:r>
      <w:r w:rsidRPr="0026162D">
        <w:rPr>
          <w:rFonts w:ascii="Times New Roman" w:hAnsi="Times New Roman" w:cs="Times New Roman"/>
          <w:sz w:val="24"/>
          <w:szCs w:val="24"/>
        </w:rPr>
        <w:tab/>
        <w:t>Под действиями, осуществляемыми в пользу стимулирующего клиента, понимаются:</w:t>
      </w:r>
    </w:p>
    <w:p w:rsidR="00771B73" w:rsidRPr="0026162D" w:rsidRDefault="00771B73" w:rsidP="006D286D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предоставление неоправданных преимуществ по сравнению с другими клиентами;</w:t>
      </w:r>
    </w:p>
    <w:p w:rsidR="00771B73" w:rsidRPr="0026162D" w:rsidRDefault="00771B73" w:rsidP="006D286D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предоставление каких-либо гарантий, не обусловленных требованиями законодательства или условиями договоров доверительного управления;</w:t>
      </w:r>
    </w:p>
    <w:p w:rsidR="00771B73" w:rsidRPr="0026162D" w:rsidRDefault="00771B73" w:rsidP="006D286D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обход действующих в Компании правил либо ускорение существующих в Компании процедур;</w:t>
      </w:r>
    </w:p>
    <w:p w:rsidR="00771B73" w:rsidRPr="0026162D" w:rsidRDefault="00771B73" w:rsidP="006D286D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•</w:t>
      </w:r>
      <w:r w:rsidRPr="0026162D">
        <w:rPr>
          <w:rFonts w:ascii="Times New Roman" w:hAnsi="Times New Roman" w:cs="Times New Roman"/>
          <w:sz w:val="24"/>
          <w:szCs w:val="24"/>
        </w:rPr>
        <w:tab/>
        <w:t>иные действия, идущие вразрез с принципами прозрачности и открытости взаимоотношений между Компанией и клиентами, либо допускающие определенные предпочтения Компании в отношении одного или нескольких клиентов перед другими клиентами.</w:t>
      </w:r>
    </w:p>
    <w:p w:rsidR="00771B73" w:rsidRPr="0026162D" w:rsidRDefault="00771B73" w:rsidP="0079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73" w:rsidRPr="0026162D" w:rsidRDefault="00771B73" w:rsidP="00684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6162D">
        <w:rPr>
          <w:rFonts w:ascii="Times New Roman" w:hAnsi="Times New Roman" w:cs="Times New Roman"/>
          <w:b/>
          <w:bCs/>
          <w:sz w:val="24"/>
          <w:szCs w:val="24"/>
        </w:rPr>
        <w:tab/>
        <w:t>КОНТРОЛЬ И ОТВЕТСТВЕННОСТЬ</w:t>
      </w:r>
    </w:p>
    <w:p w:rsidR="00771B73" w:rsidRPr="0026162D" w:rsidRDefault="00771B73" w:rsidP="0079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73" w:rsidRPr="0026162D" w:rsidRDefault="00771B73" w:rsidP="00684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4.1.</w:t>
      </w:r>
      <w:r w:rsidRPr="0026162D">
        <w:rPr>
          <w:rFonts w:ascii="Times New Roman" w:hAnsi="Times New Roman" w:cs="Times New Roman"/>
          <w:sz w:val="24"/>
          <w:szCs w:val="24"/>
        </w:rPr>
        <w:tab/>
        <w:t>Контроль за исполнением требований, изложенных в настоящем Перечне мер, возлагается на Генерального директора, контролера и сотрудников Компании, непосредственно сопровождающих профессиональную деятельность Компании на рынке ценных бумаг.</w:t>
      </w:r>
    </w:p>
    <w:p w:rsidR="00771B73" w:rsidRPr="0026162D" w:rsidRDefault="00771B73" w:rsidP="00D9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4.2.</w:t>
      </w:r>
      <w:r w:rsidRPr="0026162D">
        <w:rPr>
          <w:rFonts w:ascii="Times New Roman" w:hAnsi="Times New Roman" w:cs="Times New Roman"/>
          <w:sz w:val="24"/>
          <w:szCs w:val="24"/>
        </w:rPr>
        <w:tab/>
        <w:t>Требования настоящего Перечня мер доводятся до сведения всех сотрудников, сопровождающих профессиональную деятельность Компании, и подлежат обязательному исполнению.</w:t>
      </w:r>
    </w:p>
    <w:p w:rsidR="00771B73" w:rsidRPr="0026162D" w:rsidRDefault="00771B73" w:rsidP="0079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73" w:rsidRPr="0026162D" w:rsidRDefault="00771B73" w:rsidP="00D9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6162D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:rsidR="00771B73" w:rsidRPr="0026162D" w:rsidRDefault="00771B73" w:rsidP="0079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73" w:rsidRPr="0026162D" w:rsidRDefault="00771B73" w:rsidP="00D9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5.1.</w:t>
      </w:r>
      <w:r w:rsidRPr="0026162D">
        <w:rPr>
          <w:rFonts w:ascii="Times New Roman" w:hAnsi="Times New Roman" w:cs="Times New Roman"/>
          <w:sz w:val="24"/>
          <w:szCs w:val="24"/>
        </w:rPr>
        <w:tab/>
        <w:t>Настоящий Перечень мер и изменения к нему утверждаются в порядке, установленном Уставом Компании.</w:t>
      </w:r>
    </w:p>
    <w:p w:rsidR="00771B73" w:rsidRPr="0026162D" w:rsidRDefault="00771B73" w:rsidP="00D9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5.2.</w:t>
      </w:r>
      <w:r w:rsidRPr="0026162D">
        <w:rPr>
          <w:rFonts w:ascii="Times New Roman" w:hAnsi="Times New Roman" w:cs="Times New Roman"/>
          <w:sz w:val="24"/>
          <w:szCs w:val="24"/>
        </w:rPr>
        <w:tab/>
        <w:t xml:space="preserve">Компания раскрывает настоящий Перечень мер на своем официальном сайте в информационно-телекоммуникационной сети "Интернет". </w:t>
      </w:r>
    </w:p>
    <w:p w:rsidR="00771B73" w:rsidRPr="0026162D" w:rsidRDefault="00771B73" w:rsidP="00D9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D">
        <w:rPr>
          <w:rFonts w:ascii="Times New Roman" w:hAnsi="Times New Roman" w:cs="Times New Roman"/>
          <w:sz w:val="24"/>
          <w:szCs w:val="24"/>
        </w:rPr>
        <w:t>5.3.</w:t>
      </w:r>
      <w:r w:rsidRPr="0026162D">
        <w:rPr>
          <w:rFonts w:ascii="Times New Roman" w:hAnsi="Times New Roman" w:cs="Times New Roman"/>
          <w:sz w:val="24"/>
          <w:szCs w:val="24"/>
        </w:rPr>
        <w:tab/>
        <w:t>Указанный Перечень мер, а также изменения в него должны быть раскрыты не позднее 10 календарных дней до дня их вступления в силу.</w:t>
      </w:r>
    </w:p>
    <w:sectPr w:rsidR="00771B73" w:rsidRPr="0026162D" w:rsidSect="0015769B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19" w:rsidRDefault="000F3219" w:rsidP="00C92783">
      <w:pPr>
        <w:spacing w:after="0" w:line="240" w:lineRule="auto"/>
      </w:pPr>
      <w:r>
        <w:separator/>
      </w:r>
    </w:p>
  </w:endnote>
  <w:endnote w:type="continuationSeparator" w:id="0">
    <w:p w:rsidR="000F3219" w:rsidRDefault="000F3219" w:rsidP="00C9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73" w:rsidRDefault="002616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5769B">
      <w:rPr>
        <w:noProof/>
      </w:rPr>
      <w:t>3</w:t>
    </w:r>
    <w:r>
      <w:rPr>
        <w:noProof/>
      </w:rPr>
      <w:fldChar w:fldCharType="end"/>
    </w:r>
  </w:p>
  <w:p w:rsidR="00771B73" w:rsidRDefault="00771B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19" w:rsidRDefault="000F3219" w:rsidP="00C92783">
      <w:pPr>
        <w:spacing w:after="0" w:line="240" w:lineRule="auto"/>
      </w:pPr>
      <w:r>
        <w:separator/>
      </w:r>
    </w:p>
  </w:footnote>
  <w:footnote w:type="continuationSeparator" w:id="0">
    <w:p w:rsidR="000F3219" w:rsidRDefault="000F3219" w:rsidP="00C9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E11375"/>
    <w:multiLevelType w:val="hybridMultilevel"/>
    <w:tmpl w:val="ABEFF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FA2BB"/>
    <w:multiLevelType w:val="hybridMultilevel"/>
    <w:tmpl w:val="F12F4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E03820"/>
    <w:multiLevelType w:val="hybridMultilevel"/>
    <w:tmpl w:val="5B5A9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9CE7B1"/>
    <w:multiLevelType w:val="hybridMultilevel"/>
    <w:tmpl w:val="7914A1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512D0B"/>
    <w:multiLevelType w:val="hybridMultilevel"/>
    <w:tmpl w:val="C3AD76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D55B971"/>
    <w:multiLevelType w:val="hybridMultilevel"/>
    <w:tmpl w:val="9E41B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F83037"/>
    <w:multiLevelType w:val="hybridMultilevel"/>
    <w:tmpl w:val="525E6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F3F9373"/>
    <w:multiLevelType w:val="hybridMultilevel"/>
    <w:tmpl w:val="70030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984218"/>
    <w:multiLevelType w:val="hybridMultilevel"/>
    <w:tmpl w:val="3F08C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formatting="0"/>
  <w:trackRevisio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70D"/>
    <w:rsid w:val="0001490F"/>
    <w:rsid w:val="00026983"/>
    <w:rsid w:val="000915CE"/>
    <w:rsid w:val="00093A52"/>
    <w:rsid w:val="000F3219"/>
    <w:rsid w:val="000F4E7B"/>
    <w:rsid w:val="001274A6"/>
    <w:rsid w:val="00146B29"/>
    <w:rsid w:val="0015769B"/>
    <w:rsid w:val="001E07D2"/>
    <w:rsid w:val="001E095D"/>
    <w:rsid w:val="0026162D"/>
    <w:rsid w:val="00296A6C"/>
    <w:rsid w:val="002A117E"/>
    <w:rsid w:val="002A43FA"/>
    <w:rsid w:val="002D4FBF"/>
    <w:rsid w:val="00324CA0"/>
    <w:rsid w:val="003260EC"/>
    <w:rsid w:val="003373CC"/>
    <w:rsid w:val="00337551"/>
    <w:rsid w:val="003775A8"/>
    <w:rsid w:val="003A3E77"/>
    <w:rsid w:val="003F76FB"/>
    <w:rsid w:val="00486A96"/>
    <w:rsid w:val="005839C3"/>
    <w:rsid w:val="005B1403"/>
    <w:rsid w:val="005D52C9"/>
    <w:rsid w:val="005D795B"/>
    <w:rsid w:val="005E1258"/>
    <w:rsid w:val="005F36C3"/>
    <w:rsid w:val="006841CB"/>
    <w:rsid w:val="00692CF6"/>
    <w:rsid w:val="006C7A81"/>
    <w:rsid w:val="006D286D"/>
    <w:rsid w:val="007362CA"/>
    <w:rsid w:val="00771B73"/>
    <w:rsid w:val="00791A63"/>
    <w:rsid w:val="007B1FA0"/>
    <w:rsid w:val="007E779E"/>
    <w:rsid w:val="007F7287"/>
    <w:rsid w:val="00881D91"/>
    <w:rsid w:val="008E385F"/>
    <w:rsid w:val="0094717F"/>
    <w:rsid w:val="0098570D"/>
    <w:rsid w:val="009C0CDE"/>
    <w:rsid w:val="00A11D4E"/>
    <w:rsid w:val="00A63291"/>
    <w:rsid w:val="00A7089F"/>
    <w:rsid w:val="00A87AF8"/>
    <w:rsid w:val="00A916C3"/>
    <w:rsid w:val="00B61E88"/>
    <w:rsid w:val="00C41203"/>
    <w:rsid w:val="00C92783"/>
    <w:rsid w:val="00CA0343"/>
    <w:rsid w:val="00CB2EF5"/>
    <w:rsid w:val="00CB3E1D"/>
    <w:rsid w:val="00CF7742"/>
    <w:rsid w:val="00D028D2"/>
    <w:rsid w:val="00D97605"/>
    <w:rsid w:val="00DD74DE"/>
    <w:rsid w:val="00DF2AA1"/>
    <w:rsid w:val="00E01199"/>
    <w:rsid w:val="00F105E9"/>
    <w:rsid w:val="00F37637"/>
    <w:rsid w:val="00F76F22"/>
    <w:rsid w:val="00FC2A63"/>
    <w:rsid w:val="00FC76AE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159FBE-C908-4B76-BDD3-05EE36FC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570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F36C3"/>
    <w:pPr>
      <w:autoSpaceDE w:val="0"/>
      <w:autoSpaceDN w:val="0"/>
      <w:adjustRightInd w:val="0"/>
    </w:pPr>
    <w:rPr>
      <w:sz w:val="22"/>
      <w:szCs w:val="22"/>
      <w:lang w:eastAsia="en-US"/>
    </w:rPr>
  </w:style>
  <w:style w:type="table" w:styleId="a3">
    <w:name w:val="Table Grid"/>
    <w:basedOn w:val="a1"/>
    <w:uiPriority w:val="99"/>
    <w:rsid w:val="00CF774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9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92783"/>
  </w:style>
  <w:style w:type="paragraph" w:styleId="a6">
    <w:name w:val="footer"/>
    <w:basedOn w:val="a"/>
    <w:link w:val="a7"/>
    <w:uiPriority w:val="99"/>
    <w:rsid w:val="00C9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92783"/>
  </w:style>
  <w:style w:type="paragraph" w:styleId="a8">
    <w:name w:val="Balloon Text"/>
    <w:basedOn w:val="a"/>
    <w:link w:val="a9"/>
    <w:uiPriority w:val="99"/>
    <w:semiHidden/>
    <w:rsid w:val="002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2013</Words>
  <Characters>11480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Ситнер</dc:creator>
  <cp:keywords/>
  <dc:description/>
  <cp:lastModifiedBy>Администратор</cp:lastModifiedBy>
  <cp:revision>9</cp:revision>
  <dcterms:created xsi:type="dcterms:W3CDTF">2017-12-04T10:37:00Z</dcterms:created>
  <dcterms:modified xsi:type="dcterms:W3CDTF">2018-02-09T11:04:00Z</dcterms:modified>
</cp:coreProperties>
</file>